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3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5"/>
        <w:gridCol w:w="2340"/>
        <w:gridCol w:w="915"/>
        <w:gridCol w:w="1125"/>
        <w:gridCol w:w="645"/>
        <w:gridCol w:w="780"/>
        <w:gridCol w:w="780"/>
        <w:gridCol w:w="780"/>
        <w:gridCol w:w="3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blCellSpacing w:w="0" w:type="dxa"/>
        </w:trPr>
        <w:tc>
          <w:tcPr>
            <w:tcW w:w="11835" w:type="dxa"/>
            <w:gridSpan w:val="9"/>
            <w:tcBorders>
              <w:top w:val="nil"/>
              <w:left w:val="nil"/>
              <w:bottom w:val="single" w:color="auto" w:sz="6" w:space="0"/>
              <w:right w:val="nil"/>
            </w:tcBorders>
            <w:shd w:val="clear"/>
            <w:vAlign w:val="center"/>
          </w:tcPr>
          <w:p>
            <w:pPr>
              <w:keepNext w:val="0"/>
              <w:keepLines w:val="0"/>
              <w:widowControl/>
              <w:suppressLineNumbers w:val="0"/>
              <w:ind w:left="0" w:firstLine="0"/>
              <w:jc w:val="left"/>
              <w:rPr>
                <w:rFonts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36"/>
                <w:szCs w:val="36"/>
                <w:bdr w:val="none" w:color="auto" w:sz="0" w:space="0"/>
                <w:lang w:val="en-US" w:eastAsia="zh-CN" w:bidi="ar"/>
              </w:rPr>
              <w:t>附件1：长江大学2020年人才招聘计划表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序号</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招聘单位</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博士教师</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博士后</w:t>
            </w:r>
            <w:r>
              <w:rPr>
                <w:rStyle w:val="5"/>
                <w:rFonts w:hint="default" w:ascii="Arial" w:hAnsi="Arial" w:eastAsia="宋体" w:cs="Arial"/>
                <w:i w:val="0"/>
                <w:caps w:val="0"/>
                <w:color w:val="000000"/>
                <w:spacing w:val="0"/>
                <w:kern w:val="0"/>
                <w:sz w:val="18"/>
                <w:szCs w:val="18"/>
                <w:bdr w:val="none" w:color="auto" w:sz="0" w:space="0"/>
                <w:lang w:val="en-US" w:eastAsia="zh-CN" w:bidi="ar"/>
              </w:rPr>
              <w:br w:type="textWrapping"/>
            </w:r>
            <w:r>
              <w:rPr>
                <w:rStyle w:val="5"/>
                <w:rFonts w:hint="default" w:ascii="Arial" w:hAnsi="Arial" w:eastAsia="宋体" w:cs="Arial"/>
                <w:i w:val="0"/>
                <w:caps w:val="0"/>
                <w:color w:val="000000"/>
                <w:spacing w:val="0"/>
                <w:kern w:val="0"/>
                <w:sz w:val="18"/>
                <w:szCs w:val="18"/>
                <w:bdr w:val="none" w:color="auto" w:sz="0" w:space="0"/>
                <w:lang w:val="en-US" w:eastAsia="zh-CN" w:bidi="ar"/>
              </w:rPr>
              <w:t>    ≥</w:t>
            </w:r>
          </w:p>
        </w:tc>
        <w:tc>
          <w:tcPr>
            <w:tcW w:w="64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硕士教师</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实验技术人员</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非教师专业技术人员</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辅导员</w:t>
            </w: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石油工程学院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6</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博士教师计划其中“优青”团队1人;硕士教师要求精通俄语，具有石油类专业背景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地球科学学院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3</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地球物理与石油资源学院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4</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资源与环境学院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5</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非常规油气湖北省部共建协同创新中心</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0</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6</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录井技术与工程研究院</w:t>
            </w:r>
          </w:p>
        </w:tc>
        <w:tc>
          <w:tcPr>
            <w:tcW w:w="91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7</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农学院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8</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主要粮食作物产业化湖北省协调创新中心</w:t>
            </w:r>
          </w:p>
        </w:tc>
        <w:tc>
          <w:tcPr>
            <w:tcW w:w="91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9</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生命科学学院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10</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园艺园林学院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11</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动物科学学院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w:t>
            </w:r>
          </w:p>
        </w:tc>
        <w:tc>
          <w:tcPr>
            <w:tcW w:w="64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12</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医学部</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硕士教师专业方向：临床医学、预防医学与卫生学、医学统计学、医学影像设备学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13</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信息与数学学院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14</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物理与光电工程学院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15</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化学与环境工程学院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16</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机械工程学院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17</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电子信息学院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18</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计算机科学学院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19</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城市建设学院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硕士教师专业方向：工程管理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20</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文学院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硕士教师专业方向：新闻传播学、戏剧影视学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21</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外国语学院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22</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艺术学院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硕士教师专业方向：舞蹈编导；环境设计；中阮；声乐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23</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教育与体育学院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硕士教师专业方向：运动人体科学；体育教育训练学（排球、体操、羽毛球）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24</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经济与管理学院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5</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25</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法学院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2</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26</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马克思主义学院</w:t>
            </w:r>
          </w:p>
        </w:tc>
        <w:tc>
          <w:tcPr>
            <w:tcW w:w="91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27</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互联网与信息中心</w:t>
            </w:r>
          </w:p>
        </w:tc>
        <w:tc>
          <w:tcPr>
            <w:tcW w:w="0" w:type="auto"/>
            <w:tcBorders>
              <w:top w:val="nil"/>
              <w:left w:val="nil"/>
              <w:bottom w:val="nil"/>
              <w:right w:val="nil"/>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single" w:color="auto" w:sz="6" w:space="0"/>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28</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基本建设处</w:t>
            </w:r>
          </w:p>
        </w:tc>
        <w:tc>
          <w:tcPr>
            <w:tcW w:w="0" w:type="auto"/>
            <w:tcBorders>
              <w:top w:val="nil"/>
              <w:left w:val="nil"/>
              <w:bottom w:val="nil"/>
              <w:right w:val="nil"/>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single" w:color="auto" w:sz="6" w:space="0"/>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29</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计划财务处</w:t>
            </w:r>
          </w:p>
        </w:tc>
        <w:tc>
          <w:tcPr>
            <w:tcW w:w="0" w:type="auto"/>
            <w:tcBorders>
              <w:top w:val="nil"/>
              <w:left w:val="nil"/>
              <w:bottom w:val="nil"/>
              <w:right w:val="nil"/>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single" w:color="auto" w:sz="6" w:space="0"/>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w:t>
            </w: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30</w:t>
            </w:r>
          </w:p>
        </w:tc>
        <w:tc>
          <w:tcPr>
            <w:tcW w:w="234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学生工作处</w:t>
            </w:r>
          </w:p>
        </w:tc>
        <w:tc>
          <w:tcPr>
            <w:tcW w:w="0" w:type="auto"/>
            <w:tcBorders>
              <w:top w:val="nil"/>
              <w:left w:val="nil"/>
              <w:bottom w:val="nil"/>
              <w:right w:val="nil"/>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single" w:color="auto" w:sz="6" w:space="0"/>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78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0" w:type="auto"/>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12</w:t>
            </w:r>
          </w:p>
        </w:tc>
        <w:tc>
          <w:tcPr>
            <w:tcW w:w="373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辅导员由学生工作处统一调配至学院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35"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bdr w:val="none" w:color="auto" w:sz="0" w:space="0"/>
                <w:lang w:val="en-US" w:eastAsia="zh-CN" w:bidi="ar"/>
              </w:rPr>
              <w:t>合计</w:t>
            </w:r>
          </w:p>
        </w:tc>
        <w:tc>
          <w:tcPr>
            <w:tcW w:w="2340"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c>
          <w:tcPr>
            <w:tcW w:w="915" w:type="dxa"/>
            <w:tcBorders>
              <w:top w:val="single" w:color="auto" w:sz="6" w:space="0"/>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70</w:t>
            </w:r>
          </w:p>
        </w:tc>
        <w:tc>
          <w:tcPr>
            <w:tcW w:w="112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40</w:t>
            </w:r>
          </w:p>
        </w:tc>
        <w:tc>
          <w:tcPr>
            <w:tcW w:w="645"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11</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8</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3</w:t>
            </w:r>
          </w:p>
        </w:tc>
        <w:tc>
          <w:tcPr>
            <w:tcW w:w="780" w:type="dxa"/>
            <w:tcBorders>
              <w:top w:val="nil"/>
              <w:left w:val="nil"/>
              <w:bottom w:val="single" w:color="auto" w:sz="6" w:space="0"/>
              <w:right w:val="single" w:color="auto" w:sz="6" w:space="0"/>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Style w:val="5"/>
                <w:rFonts w:hint="default" w:ascii="Arial" w:hAnsi="Arial" w:eastAsia="宋体" w:cs="Arial"/>
                <w:i w:val="0"/>
                <w:caps w:val="0"/>
                <w:color w:val="000000"/>
                <w:spacing w:val="0"/>
                <w:kern w:val="0"/>
                <w:sz w:val="18"/>
                <w:szCs w:val="18"/>
                <w:bdr w:val="none" w:color="auto" w:sz="0" w:space="0"/>
                <w:lang w:val="en-US" w:eastAsia="zh-CN" w:bidi="ar"/>
              </w:rPr>
              <w:t>12</w:t>
            </w:r>
          </w:p>
        </w:tc>
        <w:tc>
          <w:tcPr>
            <w:tcW w:w="3735" w:type="dxa"/>
            <w:tcBorders>
              <w:top w:val="nil"/>
              <w:left w:val="nil"/>
              <w:bottom w:val="single" w:color="auto" w:sz="6" w:space="0"/>
              <w:right w:val="single" w:color="auto" w:sz="6" w:space="0"/>
            </w:tcBorders>
            <w:shd w:val="clear"/>
            <w:vAlign w:val="center"/>
          </w:tcPr>
          <w:p>
            <w:pPr>
              <w:jc w:val="left"/>
              <w:rPr>
                <w:rFonts w:hint="default" w:ascii="Arial" w:hAnsi="Arial" w:cs="Arial"/>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blCellSpacing w:w="0" w:type="dxa"/>
        </w:trPr>
        <w:tc>
          <w:tcPr>
            <w:tcW w:w="0" w:type="auto"/>
            <w:tcBorders>
              <w:top w:val="nil"/>
              <w:left w:val="nil"/>
              <w:bottom w:val="nil"/>
              <w:right w:val="nil"/>
            </w:tcBorders>
            <w:shd w:val="clear"/>
            <w:vAlign w:val="center"/>
          </w:tcPr>
          <w:p>
            <w:pPr>
              <w:jc w:val="left"/>
              <w:rPr>
                <w:rFonts w:hint="default" w:ascii="Arial" w:hAnsi="Arial" w:cs="Arial"/>
                <w:i w:val="0"/>
                <w:caps w:val="0"/>
                <w:color w:val="000000"/>
                <w:spacing w:val="0"/>
                <w:sz w:val="18"/>
                <w:szCs w:val="18"/>
              </w:rPr>
            </w:pPr>
          </w:p>
        </w:tc>
        <w:tc>
          <w:tcPr>
            <w:tcW w:w="11100" w:type="dxa"/>
            <w:gridSpan w:val="8"/>
            <w:tcBorders>
              <w:top w:val="single" w:color="auto" w:sz="6" w:space="0"/>
              <w:left w:val="nil"/>
              <w:bottom w:val="nil"/>
              <w:right w:val="nil"/>
            </w:tcBorders>
            <w:shd w:val="clear"/>
            <w:vAlign w:val="center"/>
          </w:tcPr>
          <w:p>
            <w:pPr>
              <w:keepNext w:val="0"/>
              <w:keepLines w:val="0"/>
              <w:widowControl/>
              <w:suppressLineNumbers w:val="0"/>
              <w:ind w:left="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24"/>
                <w:szCs w:val="24"/>
                <w:bdr w:val="none" w:color="auto" w:sz="0" w:space="0"/>
                <w:lang w:val="en-US" w:eastAsia="zh-CN" w:bidi="ar"/>
              </w:rPr>
              <w:t>说明：</w:t>
            </w:r>
            <w:r>
              <w:rPr>
                <w:rFonts w:hint="default" w:ascii="Arial" w:hAnsi="Arial" w:eastAsia="宋体" w:cs="Arial"/>
                <w:i w:val="0"/>
                <w:caps w:val="0"/>
                <w:color w:val="000000"/>
                <w:spacing w:val="0"/>
                <w:kern w:val="0"/>
                <w:sz w:val="24"/>
                <w:szCs w:val="24"/>
                <w:bdr w:val="none" w:color="auto" w:sz="0" w:space="0"/>
                <w:lang w:val="en-US" w:eastAsia="zh-CN" w:bidi="ar"/>
              </w:rPr>
              <w:br w:type="textWrapping"/>
            </w:r>
            <w:r>
              <w:rPr>
                <w:rFonts w:hint="default" w:ascii="Arial" w:hAnsi="Arial" w:eastAsia="宋体" w:cs="Arial"/>
                <w:i w:val="0"/>
                <w:caps w:val="0"/>
                <w:color w:val="000000"/>
                <w:spacing w:val="0"/>
                <w:kern w:val="0"/>
                <w:sz w:val="24"/>
                <w:szCs w:val="24"/>
                <w:bdr w:val="none" w:color="auto" w:sz="0" w:space="0"/>
                <w:lang w:val="en-US" w:eastAsia="zh-CN" w:bidi="ar"/>
              </w:rPr>
              <w:t>    1.石油和农学学科的博士原则上以博士后方式引进，已有博士后经历或高级职称或特别优秀的博士可以直接作为教师引进。</w:t>
            </w:r>
            <w:r>
              <w:rPr>
                <w:rFonts w:hint="default" w:ascii="Arial" w:hAnsi="Arial" w:eastAsia="宋体" w:cs="Arial"/>
                <w:i w:val="0"/>
                <w:caps w:val="0"/>
                <w:color w:val="000000"/>
                <w:spacing w:val="0"/>
                <w:kern w:val="0"/>
                <w:sz w:val="24"/>
                <w:szCs w:val="24"/>
                <w:bdr w:val="none" w:color="auto" w:sz="0" w:space="0"/>
                <w:lang w:val="en-US" w:eastAsia="zh-CN" w:bidi="ar"/>
              </w:rPr>
              <w:br w:type="textWrapping"/>
            </w:r>
            <w:r>
              <w:rPr>
                <w:rFonts w:hint="default" w:ascii="Arial" w:hAnsi="Arial" w:eastAsia="宋体" w:cs="Arial"/>
                <w:i w:val="0"/>
                <w:caps w:val="0"/>
                <w:color w:val="000000"/>
                <w:spacing w:val="0"/>
                <w:kern w:val="0"/>
                <w:sz w:val="24"/>
                <w:szCs w:val="24"/>
                <w:bdr w:val="none" w:color="auto" w:sz="0" w:space="0"/>
                <w:lang w:val="en-US" w:eastAsia="zh-CN" w:bidi="ar"/>
              </w:rPr>
              <w:t>    2.对于有正高级职称的人才，引进计划单列另设，不占本表中的博士教师引进计划。</w:t>
            </w:r>
          </w:p>
        </w:tc>
      </w:tr>
    </w:tbl>
    <w:p>
      <w:pPr>
        <w:keepNext w:val="0"/>
        <w:keepLines w:val="0"/>
        <w:widowControl/>
        <w:suppressLineNumbers w:val="0"/>
        <w:spacing w:before="0" w:beforeAutospacing="0" w:after="200" w:afterAutospacing="0" w:line="253" w:lineRule="atLeast"/>
        <w:ind w:left="0" w:right="-57" w:firstLine="640"/>
        <w:jc w:val="left"/>
        <w:rPr>
          <w:rFonts w:ascii="Calibri" w:hAnsi="Calibri" w:cs="Calibri"/>
          <w:i w:val="0"/>
          <w:caps w:val="0"/>
          <w:color w:val="000000"/>
          <w:spacing w:val="0"/>
          <w:sz w:val="22"/>
          <w:szCs w:val="22"/>
        </w:rPr>
      </w:pPr>
    </w:p>
    <w:p>
      <w:pPr>
        <w:keepNext w:val="0"/>
        <w:keepLines w:val="0"/>
        <w:widowControl/>
        <w:suppressLineNumbers w:val="0"/>
        <w:spacing w:before="0" w:beforeAutospacing="0" w:after="200" w:afterAutospacing="0" w:line="253" w:lineRule="atLeast"/>
        <w:ind w:left="0" w:right="-57" w:firstLine="640"/>
        <w:jc w:val="left"/>
        <w:rPr>
          <w:rFonts w:hint="default" w:ascii="Calibri" w:hAnsi="Calibri" w:cs="Calibri"/>
          <w:i w:val="0"/>
          <w:caps w:val="0"/>
          <w:color w:val="000000"/>
          <w:spacing w:val="0"/>
          <w:sz w:val="22"/>
          <w:szCs w:val="22"/>
        </w:rPr>
      </w:pPr>
    </w:p>
    <w:p>
      <w:pPr>
        <w:pStyle w:val="2"/>
        <w:keepNext w:val="0"/>
        <w:keepLines w:val="0"/>
        <w:widowControl/>
        <w:suppressLineNumbers w:val="0"/>
        <w:ind w:left="0" w:right="0" w:firstLine="0"/>
        <w:jc w:val="left"/>
        <w:rPr>
          <w:rFonts w:hint="eastAsia" w:ascii="宋体" w:hAnsi="宋体" w:eastAsia="宋体" w:cs="宋体"/>
          <w:i w:val="0"/>
          <w:caps w:val="0"/>
          <w:color w:val="000000"/>
          <w:spacing w:val="0"/>
          <w:sz w:val="24"/>
          <w:szCs w:val="24"/>
        </w:rPr>
      </w:pPr>
      <w:r>
        <w:rPr>
          <w:rFonts w:ascii="仿宋_GB2312" w:hAnsi="仿宋_GB2312" w:eastAsia="仿宋_GB2312" w:cs="仿宋_GB2312"/>
          <w:i w:val="0"/>
          <w:caps w:val="0"/>
          <w:color w:val="000000"/>
          <w:spacing w:val="0"/>
          <w:sz w:val="31"/>
          <w:szCs w:val="31"/>
          <w:bdr w:val="none" w:color="auto" w:sz="0" w:space="0"/>
        </w:rPr>
        <w:t>附件</w:t>
      </w:r>
      <w:r>
        <w:rPr>
          <w:rFonts w:hint="default" w:ascii="仿宋_GB2312" w:hAnsi="仿宋_GB2312" w:eastAsia="仿宋_GB2312" w:cs="仿宋_GB2312"/>
          <w:i w:val="0"/>
          <w:caps w:val="0"/>
          <w:color w:val="000000"/>
          <w:spacing w:val="0"/>
          <w:sz w:val="31"/>
          <w:szCs w:val="31"/>
          <w:bdr w:val="none" w:color="auto" w:sz="0" w:space="0"/>
          <w:lang w:val="en-US"/>
        </w:rPr>
        <w:t>2</w:t>
      </w:r>
      <w:r>
        <w:rPr>
          <w:rFonts w:hint="default" w:ascii="仿宋_GB2312" w:hAnsi="仿宋_GB2312" w:eastAsia="仿宋_GB2312" w:cs="仿宋_GB2312"/>
          <w:i w:val="0"/>
          <w:caps w:val="0"/>
          <w:color w:val="000000"/>
          <w:spacing w:val="0"/>
          <w:sz w:val="31"/>
          <w:szCs w:val="31"/>
          <w:bdr w:val="none" w:color="auto" w:sz="0" w:space="0"/>
        </w:rPr>
        <w:t>：</w:t>
      </w:r>
    </w:p>
    <w:p>
      <w:pPr>
        <w:pStyle w:val="2"/>
        <w:keepNext w:val="0"/>
        <w:keepLines w:val="0"/>
        <w:widowControl/>
        <w:suppressLineNumbers w:val="0"/>
        <w:ind w:left="0" w:right="0" w:firstLine="885"/>
        <w:jc w:val="center"/>
        <w:rPr>
          <w:rFonts w:hint="eastAsia" w:ascii="宋体" w:hAnsi="宋体" w:eastAsia="宋体" w:cs="宋体"/>
          <w:i w:val="0"/>
          <w:caps w:val="0"/>
          <w:color w:val="000000"/>
          <w:spacing w:val="0"/>
          <w:sz w:val="24"/>
          <w:szCs w:val="24"/>
        </w:rPr>
      </w:pPr>
      <w:r>
        <w:rPr>
          <w:rStyle w:val="5"/>
          <w:rFonts w:ascii="方正小标宋_gbk" w:hAnsi="方正小标宋_gbk" w:eastAsia="方正小标宋_gbk" w:cs="方正小标宋_gbk"/>
          <w:i w:val="0"/>
          <w:caps w:val="0"/>
          <w:color w:val="000000"/>
          <w:spacing w:val="0"/>
          <w:sz w:val="43"/>
          <w:szCs w:val="43"/>
          <w:bdr w:val="none" w:color="auto" w:sz="0" w:space="0"/>
        </w:rPr>
        <w:t>长江大学配偶安置政策说明与实施细则</w:t>
      </w:r>
    </w:p>
    <w:p>
      <w:pPr>
        <w:pStyle w:val="2"/>
        <w:keepNext w:val="0"/>
        <w:keepLines w:val="0"/>
        <w:widowControl/>
        <w:suppressLineNumbers w:val="0"/>
        <w:ind w:left="0" w:right="0" w:firstLine="645"/>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rPr>
        <w:t>学校对符合相关条件的优秀博士的配偶予以安置，具体如下：</w:t>
      </w:r>
    </w:p>
    <w:p>
      <w:pPr>
        <w:pStyle w:val="2"/>
        <w:keepNext w:val="0"/>
        <w:keepLines w:val="0"/>
        <w:widowControl/>
        <w:suppressLineNumbers w:val="0"/>
        <w:ind w:left="0" w:right="0" w:firstLine="645"/>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lang w:val="en-US"/>
        </w:rPr>
        <w:t>1.</w:t>
      </w:r>
      <w:r>
        <w:rPr>
          <w:rFonts w:hint="default" w:ascii="仿宋_GB2312" w:hAnsi="仿宋_GB2312" w:eastAsia="仿宋_GB2312" w:cs="仿宋_GB2312"/>
          <w:i w:val="0"/>
          <w:caps w:val="0"/>
          <w:color w:val="000000"/>
          <w:spacing w:val="0"/>
          <w:sz w:val="31"/>
          <w:szCs w:val="31"/>
          <w:bdr w:val="none" w:color="auto" w:sz="0" w:space="0"/>
        </w:rPr>
        <w:t>自本办法发布之日起，配偶安置原有政策废止。</w:t>
      </w:r>
    </w:p>
    <w:p>
      <w:pPr>
        <w:pStyle w:val="2"/>
        <w:keepNext w:val="0"/>
        <w:keepLines w:val="0"/>
        <w:widowControl/>
        <w:suppressLineNumbers w:val="0"/>
        <w:ind w:left="0" w:right="0" w:firstLine="645"/>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lang w:val="en-US"/>
        </w:rPr>
        <w:t>2.</w:t>
      </w:r>
      <w:r>
        <w:rPr>
          <w:rFonts w:hint="default" w:ascii="仿宋_GB2312" w:hAnsi="仿宋_GB2312" w:eastAsia="仿宋_GB2312" w:cs="仿宋_GB2312"/>
          <w:i w:val="0"/>
          <w:caps w:val="0"/>
          <w:color w:val="000000"/>
          <w:spacing w:val="0"/>
          <w:sz w:val="31"/>
          <w:szCs w:val="31"/>
          <w:bdr w:val="none" w:color="auto" w:sz="0" w:space="0"/>
        </w:rPr>
        <w:t>适用对象。配偶安置政策仅限当年新引进人才，即纳入招聘计划且自本办法发布之日起新引进的人才。无论婚否，新引进人才入职后人事部门不再受理配偶安置申请。自本办法发布之日起，本校在职教工获得博士学历学位的，学校不再安排其配偶工作。</w:t>
      </w:r>
    </w:p>
    <w:p>
      <w:pPr>
        <w:pStyle w:val="2"/>
        <w:keepNext w:val="0"/>
        <w:keepLines w:val="0"/>
        <w:widowControl/>
        <w:suppressLineNumbers w:val="0"/>
        <w:ind w:left="0" w:right="0" w:firstLine="480"/>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lang w:val="en-US"/>
        </w:rPr>
        <w:t>3.</w:t>
      </w:r>
      <w:r>
        <w:rPr>
          <w:rFonts w:hint="default" w:ascii="仿宋_GB2312" w:hAnsi="仿宋_GB2312" w:eastAsia="仿宋_GB2312" w:cs="仿宋_GB2312"/>
          <w:i w:val="0"/>
          <w:caps w:val="0"/>
          <w:color w:val="000000"/>
          <w:spacing w:val="0"/>
          <w:sz w:val="31"/>
          <w:szCs w:val="31"/>
          <w:bdr w:val="none" w:color="auto" w:sz="0" w:space="0"/>
        </w:rPr>
        <w:t>新引进人才学术水平条件。新引进人才学术水平须达到</w:t>
      </w:r>
      <w:r>
        <w:rPr>
          <w:rFonts w:hint="default" w:ascii="仿宋_GB2312" w:hAnsi="仿宋_GB2312" w:eastAsia="仿宋_GB2312" w:cs="仿宋_GB2312"/>
          <w:i w:val="0"/>
          <w:caps w:val="0"/>
          <w:color w:val="000000"/>
          <w:spacing w:val="0"/>
          <w:sz w:val="31"/>
          <w:szCs w:val="31"/>
          <w:bdr w:val="none" w:color="auto" w:sz="0" w:space="0"/>
          <w:lang w:val="en-US"/>
        </w:rPr>
        <w:t>A</w:t>
      </w:r>
      <w:r>
        <w:rPr>
          <w:rFonts w:hint="default" w:ascii="仿宋_GB2312" w:hAnsi="仿宋_GB2312" w:eastAsia="仿宋_GB2312" w:cs="仿宋_GB2312"/>
          <w:i w:val="0"/>
          <w:caps w:val="0"/>
          <w:color w:val="000000"/>
          <w:spacing w:val="0"/>
          <w:sz w:val="31"/>
          <w:szCs w:val="31"/>
          <w:bdr w:val="none" w:color="auto" w:sz="0" w:space="0"/>
        </w:rPr>
        <w:t>档及以上，或具有正高级职称。新引进人才入职后学术水平达到</w:t>
      </w:r>
      <w:r>
        <w:rPr>
          <w:rFonts w:hint="default" w:ascii="仿宋_GB2312" w:hAnsi="仿宋_GB2312" w:eastAsia="仿宋_GB2312" w:cs="仿宋_GB2312"/>
          <w:i w:val="0"/>
          <w:caps w:val="0"/>
          <w:color w:val="000000"/>
          <w:spacing w:val="0"/>
          <w:sz w:val="31"/>
          <w:szCs w:val="31"/>
          <w:bdr w:val="none" w:color="auto" w:sz="0" w:space="0"/>
          <w:lang w:val="en-US"/>
        </w:rPr>
        <w:t>A</w:t>
      </w:r>
      <w:r>
        <w:rPr>
          <w:rFonts w:hint="default" w:ascii="仿宋_GB2312" w:hAnsi="仿宋_GB2312" w:eastAsia="仿宋_GB2312" w:cs="仿宋_GB2312"/>
          <w:i w:val="0"/>
          <w:caps w:val="0"/>
          <w:color w:val="000000"/>
          <w:spacing w:val="0"/>
          <w:sz w:val="31"/>
          <w:szCs w:val="31"/>
          <w:bdr w:val="none" w:color="auto" w:sz="0" w:space="0"/>
        </w:rPr>
        <w:t>档或取得正高级职称，不予安置配偶工作。特别杰出并在业界具有重要影响力，且符合我校学科发展急需的人才，由学校人才工作委员会组织论证予以确定</w:t>
      </w:r>
      <w:r>
        <w:rPr>
          <w:rFonts w:hint="default" w:ascii="仿宋_GB2312" w:hAnsi="仿宋_GB2312" w:eastAsia="仿宋_GB2312" w:cs="仿宋_GB2312"/>
          <w:i w:val="0"/>
          <w:caps w:val="0"/>
          <w:color w:val="000000"/>
          <w:spacing w:val="0"/>
          <w:sz w:val="31"/>
          <w:szCs w:val="31"/>
          <w:bdr w:val="none" w:color="auto" w:sz="0" w:space="0"/>
          <w:lang w:val="en-US"/>
        </w:rPr>
        <w:t>; </w:t>
      </w:r>
      <w:r>
        <w:rPr>
          <w:rFonts w:hint="default" w:ascii="仿宋_GB2312" w:hAnsi="仿宋_GB2312" w:eastAsia="仿宋_GB2312" w:cs="仿宋_GB2312"/>
          <w:i w:val="0"/>
          <w:caps w:val="0"/>
          <w:color w:val="000000"/>
          <w:spacing w:val="0"/>
          <w:sz w:val="31"/>
          <w:szCs w:val="31"/>
          <w:bdr w:val="none" w:color="auto" w:sz="0" w:space="0"/>
        </w:rPr>
        <w:t>其配偶不符合学校安置条件但又要求解决的，报请学校人事人才工作领导小组审定。</w:t>
      </w:r>
    </w:p>
    <w:p>
      <w:pPr>
        <w:pStyle w:val="2"/>
        <w:keepNext w:val="0"/>
        <w:keepLines w:val="0"/>
        <w:widowControl/>
        <w:suppressLineNumbers w:val="0"/>
        <w:ind w:left="0" w:right="0" w:firstLine="645"/>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lang w:val="en-US"/>
        </w:rPr>
        <w:t>4.</w:t>
      </w:r>
      <w:r>
        <w:rPr>
          <w:rFonts w:hint="default" w:ascii="仿宋_GB2312" w:hAnsi="仿宋_GB2312" w:eastAsia="仿宋_GB2312" w:cs="仿宋_GB2312"/>
          <w:i w:val="0"/>
          <w:caps w:val="0"/>
          <w:color w:val="000000"/>
          <w:spacing w:val="0"/>
          <w:sz w:val="31"/>
          <w:szCs w:val="31"/>
          <w:bdr w:val="none" w:color="auto" w:sz="0" w:space="0"/>
        </w:rPr>
        <w:t>配偶年龄及学历条件。配偶须距法定退休年龄五年以上。配偶须具有全日制硕士研究生学历学位同时第一学历为全日制普通本科（不含专升本）。</w:t>
      </w:r>
    </w:p>
    <w:p>
      <w:pPr>
        <w:pStyle w:val="2"/>
        <w:keepNext w:val="0"/>
        <w:keepLines w:val="0"/>
        <w:widowControl/>
        <w:suppressLineNumbers w:val="0"/>
        <w:ind w:left="0" w:right="0" w:firstLine="645"/>
        <w:jc w:val="left"/>
        <w:rPr>
          <w:rFonts w:hint="eastAsia" w:ascii="宋体" w:hAnsi="宋体" w:eastAsia="宋体" w:cs="宋体"/>
          <w:i w:val="0"/>
          <w:caps w:val="0"/>
          <w:color w:val="000000"/>
          <w:spacing w:val="0"/>
          <w:sz w:val="24"/>
          <w:szCs w:val="24"/>
        </w:rPr>
      </w:pPr>
      <w:r>
        <w:rPr>
          <w:rFonts w:hint="default" w:ascii="仿宋_GB2312" w:hAnsi="仿宋_GB2312" w:eastAsia="仿宋_GB2312" w:cs="仿宋_GB2312"/>
          <w:i w:val="0"/>
          <w:caps w:val="0"/>
          <w:color w:val="000000"/>
          <w:spacing w:val="0"/>
          <w:sz w:val="31"/>
          <w:szCs w:val="31"/>
          <w:bdr w:val="none" w:color="auto" w:sz="0" w:space="0"/>
          <w:lang w:val="en-US"/>
        </w:rPr>
        <w:t>5.</w:t>
      </w:r>
      <w:r>
        <w:rPr>
          <w:rFonts w:hint="default" w:ascii="仿宋_GB2312" w:hAnsi="仿宋_GB2312" w:eastAsia="仿宋_GB2312" w:cs="仿宋_GB2312"/>
          <w:i w:val="0"/>
          <w:caps w:val="0"/>
          <w:color w:val="000000"/>
          <w:spacing w:val="0"/>
          <w:sz w:val="31"/>
          <w:szCs w:val="31"/>
          <w:bdr w:val="none" w:color="auto" w:sz="0" w:space="0"/>
        </w:rPr>
        <w:t>配偶工作性质及岗位。同时符合以上新引进人才学术水平条件和配偶学历条件的，学校予以安排工作，有事业编制。具体工作岗位由学校根据岗位设置情况和“人岗相适”原则予以确定。</w:t>
      </w:r>
    </w:p>
    <w:p>
      <w:pPr>
        <w:keepNext w:val="0"/>
        <w:keepLines w:val="0"/>
        <w:widowControl/>
        <w:suppressLineNumbers w:val="0"/>
        <w:spacing w:before="0" w:beforeAutospacing="0" w:after="200" w:afterAutospacing="0" w:line="253" w:lineRule="atLeast"/>
        <w:ind w:left="0" w:right="-57" w:firstLine="640"/>
        <w:jc w:val="left"/>
        <w:rPr>
          <w:rFonts w:hint="default" w:ascii="Calibri" w:hAnsi="Calibri" w:cs="Calibri"/>
          <w:i w:val="0"/>
          <w:caps w:val="0"/>
          <w:color w:val="000000"/>
          <w:spacing w:val="0"/>
          <w:sz w:val="22"/>
          <w:szCs w:val="22"/>
        </w:rPr>
      </w:pPr>
    </w:p>
    <w:p>
      <w:pPr>
        <w:keepNext w:val="0"/>
        <w:keepLines w:val="0"/>
        <w:widowControl/>
        <w:suppressLineNumbers w:val="0"/>
        <w:spacing w:before="0" w:beforeAutospacing="0" w:after="200" w:afterAutospacing="0" w:line="253" w:lineRule="atLeast"/>
        <w:ind w:left="0" w:right="-57" w:firstLine="960"/>
        <w:jc w:val="left"/>
        <w:rPr>
          <w:rFonts w:hint="default" w:ascii="Calibri" w:hAnsi="Calibri" w:cs="Calibri"/>
          <w:i w:val="0"/>
          <w:caps w:val="0"/>
          <w:color w:val="000000"/>
          <w:spacing w:val="0"/>
          <w:sz w:val="22"/>
          <w:szCs w:val="22"/>
        </w:rPr>
      </w:pPr>
      <w:r>
        <w:rPr>
          <w:rFonts w:hint="default" w:ascii="仿宋_GB2312" w:hAnsi="Calibri" w:eastAsia="仿宋_GB2312" w:cs="仿宋_GB2312"/>
          <w:i w:val="0"/>
          <w:caps w:val="0"/>
          <w:color w:val="000000"/>
          <w:spacing w:val="0"/>
          <w:kern w:val="0"/>
          <w:sz w:val="32"/>
          <w:szCs w:val="32"/>
          <w:bdr w:val="none" w:color="auto" w:sz="0" w:space="0"/>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945D7"/>
    <w:rsid w:val="66B9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2020-03-06T06:06:00Z</dcterms:created>
  <dc:creator>那时花开咖啡馆。</dc:creator>
  <cp:lastModifiedBy>那时花开咖啡馆。</cp:lastModifiedBy>
  <dcterms:modified xsi:type="dcterms:W3CDTF">2020-03-06T06:07:07Z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