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附件1：</w:t>
      </w:r>
      <w:bookmarkStart w:id="0" w:name="_GoBack"/>
      <w:bookmarkEnd w:id="0"/>
    </w:p>
    <w:p>
      <w:pPr>
        <w:jc w:val="center"/>
        <w:rPr>
          <w:rFonts w:hint="eastAsia"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</w:rPr>
        <w:t>平定县</w:t>
      </w:r>
      <w:r>
        <w:rPr>
          <w:rFonts w:hint="eastAsia" w:ascii="方正小标宋简体" w:hAnsi="仿宋" w:eastAsia="方正小标宋简体"/>
          <w:color w:val="auto"/>
          <w:sz w:val="36"/>
          <w:szCs w:val="36"/>
          <w:lang w:eastAsia="zh-CN"/>
        </w:rPr>
        <w:t>疾病预防控制中心紧急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招聘疫情防控专业技术人员岗位需求表</w:t>
      </w:r>
    </w:p>
    <w:tbl>
      <w:tblPr>
        <w:tblStyle w:val="3"/>
        <w:tblW w:w="133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57"/>
        <w:gridCol w:w="1380"/>
        <w:gridCol w:w="750"/>
        <w:gridCol w:w="2632"/>
        <w:gridCol w:w="1559"/>
        <w:gridCol w:w="3099"/>
        <w:gridCol w:w="1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序号</w:t>
            </w:r>
          </w:p>
        </w:tc>
        <w:tc>
          <w:tcPr>
            <w:tcW w:w="125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招聘单位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岗位名称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拟招人数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岗位要求</w:t>
            </w:r>
          </w:p>
        </w:tc>
        <w:tc>
          <w:tcPr>
            <w:tcW w:w="192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备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5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年龄要求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学历要求</w:t>
            </w:r>
          </w:p>
        </w:tc>
        <w:tc>
          <w:tcPr>
            <w:tcW w:w="309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专业要求</w:t>
            </w:r>
          </w:p>
        </w:tc>
        <w:tc>
          <w:tcPr>
            <w:tcW w:w="1923" w:type="dxa"/>
            <w:vMerge w:val="continue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75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</w:t>
            </w:r>
          </w:p>
        </w:tc>
        <w:tc>
          <w:tcPr>
            <w:tcW w:w="125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平定县疾病预防控制中心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流行病学调查岗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6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30周岁及以下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全日制专科及以上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</w:p>
        </w:tc>
        <w:tc>
          <w:tcPr>
            <w:tcW w:w="309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预防医学、公共卫生、临床医学、基础医学、公共卫生管理、公共事业管理</w:t>
            </w:r>
          </w:p>
        </w:tc>
        <w:tc>
          <w:tcPr>
            <w:tcW w:w="1923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25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疫情检验送样岗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30周岁及以下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全日制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专科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及以上</w:t>
            </w:r>
          </w:p>
        </w:tc>
        <w:tc>
          <w:tcPr>
            <w:tcW w:w="3099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卫生检验、卫生检验与检疫技术、卫生检验与检疫、医学检验技术、医学检验、临床医学检验技术</w:t>
            </w:r>
          </w:p>
        </w:tc>
        <w:tc>
          <w:tcPr>
            <w:tcW w:w="1923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</w:tbl>
    <w:p>
      <w:pPr>
        <w:rPr>
          <w:rFonts w:ascii="仿宋" w:hAnsi="仿宋" w:eastAsia="仿宋"/>
          <w:color w:val="auto"/>
          <w:sz w:val="30"/>
          <w:szCs w:val="30"/>
        </w:rPr>
        <w:sectPr>
          <w:pgSz w:w="16838" w:h="11906" w:orient="landscape"/>
          <w:pgMar w:top="1701" w:right="1701" w:bottom="1701" w:left="1701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847E1"/>
    <w:rsid w:val="1248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2020-02-25T02:20:00Z</dcterms:created>
  <dc:creator>Administrator</dc:creator>
  <cp:lastModifiedBy>Administrator</cp:lastModifiedBy>
  <dcterms:modified xsi:type="dcterms:W3CDTF">2020-02-25T02:21:31Z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