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60" w:lineRule="exact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sz w:val="32"/>
          <w:szCs w:val="32"/>
        </w:rPr>
        <w:t>附件3</w:t>
      </w:r>
    </w:p>
    <w:p>
      <w:pPr>
        <w:overflowPunct w:val="0"/>
        <w:rPr>
          <w:sz w:val="32"/>
          <w:szCs w:val="32"/>
        </w:rPr>
      </w:pPr>
    </w:p>
    <w:p>
      <w:pPr>
        <w:overflowPunct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“双一流”建设高校名单</w:t>
      </w:r>
    </w:p>
    <w:p>
      <w:pPr>
        <w:spacing w:line="560" w:lineRule="exact"/>
        <w:jc w:val="center"/>
        <w:rPr>
          <w:rFonts w:ascii="楷体_GB2312" w:hAnsi="Times New Roman" w:eastAsia="楷体_GB2312" w:cs="Times New Roman"/>
          <w:kern w:val="0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0"/>
          <w:sz w:val="32"/>
          <w:szCs w:val="32"/>
        </w:rPr>
        <w:t>（按学校代码排序）</w:t>
      </w:r>
    </w:p>
    <w:p>
      <w:pPr>
        <w:overflowPunct w:val="0"/>
        <w:spacing w:line="560" w:lineRule="exact"/>
        <w:ind w:firstLine="643" w:firstLineChars="200"/>
        <w:rPr>
          <w:rFonts w:ascii="方正楷体简体" w:hAnsi="方正楷体简体" w:eastAsia="方正楷体简体" w:cs="方正楷体简体"/>
          <w:b/>
          <w:bCs/>
          <w:sz w:val="32"/>
          <w:szCs w:val="32"/>
        </w:rPr>
      </w:pPr>
    </w:p>
    <w:p>
      <w:pPr>
        <w:overflowPunct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一、一流大学建设高校42所</w:t>
      </w:r>
    </w:p>
    <w:p>
      <w:pPr>
        <w:overflowPunct w:val="0"/>
        <w:spacing w:line="560" w:lineRule="exact"/>
        <w:ind w:firstLine="640" w:firstLineChars="200"/>
        <w:rPr>
          <w:rFonts w:ascii="楷体_GB2312" w:hAnsi="楷体" w:eastAsia="楷体_GB2312" w:cs="楷体"/>
          <w:kern w:val="0"/>
          <w:sz w:val="32"/>
          <w:szCs w:val="32"/>
        </w:rPr>
      </w:pPr>
      <w:r>
        <w:rPr>
          <w:rFonts w:hint="eastAsia" w:ascii="楷体_GB2312" w:hAnsi="楷体" w:eastAsia="楷体_GB2312" w:cs="楷体"/>
          <w:kern w:val="0"/>
          <w:sz w:val="32"/>
          <w:szCs w:val="32"/>
        </w:rPr>
        <w:t>1.A类36所</w:t>
      </w:r>
    </w:p>
    <w:p>
      <w:pPr>
        <w:overflowPunct w:val="0"/>
        <w:spacing w:line="560" w:lineRule="exact"/>
        <w:ind w:firstLine="640" w:firstLineChars="200"/>
        <w:rPr>
          <w:rFonts w:ascii="仿宋_GB2312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>
      <w:pPr>
        <w:overflowPunct w:val="0"/>
        <w:spacing w:line="560" w:lineRule="exact"/>
        <w:ind w:firstLine="640" w:firstLineChars="200"/>
        <w:rPr>
          <w:rFonts w:ascii="楷体_GB2312" w:hAnsi="楷体" w:eastAsia="楷体_GB2312" w:cs="楷体"/>
          <w:kern w:val="0"/>
          <w:sz w:val="32"/>
          <w:szCs w:val="32"/>
        </w:rPr>
      </w:pPr>
      <w:r>
        <w:rPr>
          <w:rFonts w:hint="eastAsia" w:ascii="楷体_GB2312" w:hAnsi="楷体" w:eastAsia="楷体_GB2312" w:cs="楷体"/>
          <w:kern w:val="0"/>
          <w:sz w:val="32"/>
          <w:szCs w:val="32"/>
        </w:rPr>
        <w:t>2.B类6所</w:t>
      </w:r>
    </w:p>
    <w:p>
      <w:pPr>
        <w:overflowPunct w:val="0"/>
        <w:spacing w:line="560" w:lineRule="exact"/>
        <w:ind w:firstLine="640" w:firstLineChars="200"/>
        <w:rPr>
          <w:rFonts w:ascii="仿宋_GB2312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东北大学、郑州大学、湖南大学、云南大学、西北农林科技大学、新疆大学</w:t>
      </w:r>
    </w:p>
    <w:p>
      <w:pPr>
        <w:overflowPunct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二、一流学科建设高校95所</w:t>
      </w:r>
    </w:p>
    <w:p>
      <w:pPr>
        <w:overflowPunct w:val="0"/>
        <w:spacing w:line="56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82"/>
    <w:rsid w:val="00035E66"/>
    <w:rsid w:val="001543AB"/>
    <w:rsid w:val="00413379"/>
    <w:rsid w:val="00A830E5"/>
    <w:rsid w:val="00D1134F"/>
    <w:rsid w:val="00D12582"/>
    <w:rsid w:val="00E5134F"/>
    <w:rsid w:val="00E95062"/>
    <w:rsid w:val="74E2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823</Characters>
  <Lines>6</Lines>
  <Paragraphs>1</Paragraphs>
  <TotalTime>5</TotalTime>
  <ScaleCrop>false</ScaleCrop>
  <LinksUpToDate>false</LinksUpToDate>
  <CharactersWithSpaces>966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2017-09-21T02:13:00Z</dcterms:created>
  <dc:creator>谢沂楠</dc:creator>
  <cp:lastModifiedBy>ぺ灬cc果冻ル</cp:lastModifiedBy>
  <dcterms:modified xsi:type="dcterms:W3CDTF">2020-01-23T08:29:16Z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